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31 августа Росреестр Алтайского края проведет «День открытых дверей»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для предпринимателей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31 августа с 14.00 до 16.00 часов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эксперты Кадастровой палаты и Управления Росреестра по Алтайскому краю  проведут «День открытых дверей» для предпринимателей и представителей юридических лиц. Мероприятие состоится в городах края: Алейске, Барнауле, Бийске, Заринске, Камне-на-Оби, Новоалтайске, Рубцовске, Славгороде.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cs="Times New Roman" w:ascii="Times New Roman" w:hAnsi="Times New Roman"/>
          <w:sz w:val="28"/>
          <w:szCs w:val="28"/>
        </w:rPr>
        <w:t xml:space="preserve"> мероприяти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индивидуальные предприниматели и представители юридических лиц смогут задать специалистам Кадастровой палаты и Управления вопросы, в том числе по конкретным случаям постановки объектов недвижимости на кадастровый учёт, регистрации права на объекты жилого/нежилого назначения, земельные участки, регистрации ипотеки и договоров долевого участия в строительстве и др. Мероприятие будет проходить</w:t>
      </w:r>
      <w:r>
        <w:rPr>
          <w:rFonts w:cs="Times New Roman" w:ascii="Times New Roman" w:hAnsi="Times New Roman"/>
          <w:sz w:val="28"/>
          <w:szCs w:val="28"/>
        </w:rPr>
        <w:t xml:space="preserve"> в филиалах Кадастровой палаты</w:t>
      </w:r>
      <w:r>
        <w:rPr>
          <w:rFonts w:cs="Times New Roman" w:ascii="Times New Roman" w:hAnsi="Times New Roman"/>
          <w:sz w:val="28"/>
          <w:szCs w:val="28"/>
        </w:rPr>
        <w:t xml:space="preserve"> по следующим адресам: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Алейск (ул. Советская, д. 100 а),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Барнаул (ул. Северо-Западная, д. 3 а),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Бийск (ул. Вали Максимовой, д. 27),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Заринск (ул. Союза Республик, д. 18/2),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Камень-на-Оби (ул. Ленина, д. 72б),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Новоалтайск (ул. Октябрьская, д. 25),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Рубцовск (ул. Громова, д. 16),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Славгород (ул. Урицкого, д. 165).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в г. Барнауле по ул. Северо-Западная, д. 3а будет работать Центр электронной регистрации 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«Школа электронных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«В рамках мероприятия предприниматели получат подробные консультации по конкретным пакетам документов или отдельным вопросам, связанным с учетом недвижимости, узнают об услугах Росреестр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, научатся понимать информацию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из  выписок,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узнают, на какие моменты необходимо обращать внимание при проверке недвижимости на предмет юридической чистоты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сделки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и т.д. Кроме того, специалисты Кадастровой палаты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помогут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участникам мероприятия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разобраться в тонкостях электронных услуг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и научиться пользоваться сервисами Росреестра», отметил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директор Кадастровой палаты по Алтайскому краю Дмитрий Комиссаров.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ascii="Times New Roman" w:hAnsi="Times New Roman"/>
          <w:i/>
          <w:iCs/>
          <w:color w:val="000000"/>
          <w:sz w:val="26"/>
          <w:szCs w:val="26"/>
          <w:u w:val="none"/>
          <w:shd w:fill="FFFFFF" w:val="clear"/>
        </w:rPr>
        <w:t xml:space="preserve">Контакты для СМИ: </w:t>
      </w:r>
      <w:r>
        <w:rPr>
          <w:rStyle w:val="Style14"/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</w:rPr>
        <w:t>тел. 8 (3852) 55-76-59, доб. 7091, 7092,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rFonts w:ascii="Times New Roman" w:hAnsi="Times New Roman"/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press</w:t>
        </w:r>
        <w:r>
          <w:rPr>
            <w:rFonts w:ascii="Times New Roman" w:hAnsi="Times New Roman"/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@22.</w:t>
        </w:r>
        <w:r>
          <w:rPr>
            <w:rFonts w:ascii="Times New Roman" w:hAnsi="Times New Roman"/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kadastr</w:t>
        </w:r>
        <w:r>
          <w:rPr>
            <w:rFonts w:ascii="Times New Roman" w:hAnsi="Times New Roman"/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.</w:t>
        </w:r>
        <w:r>
          <w:rPr>
            <w:rFonts w:ascii="Times New Roman" w:hAnsi="Times New Roman"/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ru</w:t>
        </w:r>
      </w:hyperlink>
      <w:r>
        <w:rPr>
          <w:rStyle w:val="Style14"/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type w:val="nextPage"/>
      <w:pgSz w:w="11906" w:h="16838"/>
      <w:pgMar w:left="1134" w:right="567" w:header="0" w:top="572" w:footer="0" w:bottom="61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LibreOffice/7.1.1.2$Windows_X86_64 LibreOffice_project/fe0b08f4af1bacafe4c7ecc87ce55bb426164676</Application>
  <AppVersion>15.0000</AppVersion>
  <Pages>1</Pages>
  <Words>307</Words>
  <Characters>2114</Characters>
  <CharactersWithSpaces>2413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dcterms:modified xsi:type="dcterms:W3CDTF">2022-08-01T16:01:01Z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